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205" w:rsidRPr="00C9155B" w:rsidRDefault="008E0205" w:rsidP="00406EC3">
      <w:pPr>
        <w:pStyle w:val="ConsPlusNormal"/>
        <w:ind w:left="5529"/>
        <w:outlineLvl w:val="1"/>
        <w:rPr>
          <w:rFonts w:ascii="Times New Roman" w:hAnsi="Times New Roman" w:cs="Times New Roman"/>
          <w:sz w:val="20"/>
        </w:rPr>
      </w:pPr>
    </w:p>
    <w:p w:rsidR="000614C9" w:rsidRPr="00406EC3" w:rsidRDefault="00A21305" w:rsidP="00406EC3">
      <w:pPr>
        <w:pStyle w:val="ConsPlusNormal"/>
        <w:ind w:left="5529"/>
        <w:outlineLvl w:val="1"/>
        <w:rPr>
          <w:rFonts w:ascii="Times New Roman" w:hAnsi="Times New Roman" w:cs="Times New Roman"/>
          <w:sz w:val="20"/>
        </w:rPr>
      </w:pPr>
      <w:r w:rsidRPr="00C9155B">
        <w:rPr>
          <w:rFonts w:ascii="Times New Roman" w:hAnsi="Times New Roman" w:cs="Times New Roman"/>
          <w:sz w:val="20"/>
        </w:rPr>
        <w:t>«</w:t>
      </w:r>
      <w:proofErr w:type="spellStart"/>
      <w:r w:rsidR="000614C9" w:rsidRPr="00C9155B">
        <w:rPr>
          <w:rFonts w:ascii="Times New Roman" w:hAnsi="Times New Roman" w:cs="Times New Roman"/>
          <w:sz w:val="20"/>
        </w:rPr>
        <w:t>Приложение</w:t>
      </w:r>
      <w:r w:rsidR="00406EC3">
        <w:rPr>
          <w:rFonts w:ascii="Times New Roman" w:hAnsi="Times New Roman" w:cs="Times New Roman"/>
          <w:sz w:val="20"/>
        </w:rPr>
        <w:t>№</w:t>
      </w:r>
      <w:proofErr w:type="spellEnd"/>
      <w:r w:rsidR="000614C9" w:rsidRPr="00406EC3">
        <w:rPr>
          <w:rFonts w:ascii="Times New Roman" w:hAnsi="Times New Roman" w:cs="Times New Roman"/>
          <w:sz w:val="20"/>
        </w:rPr>
        <w:t xml:space="preserve"> 1</w:t>
      </w:r>
    </w:p>
    <w:p w:rsidR="0042115A" w:rsidRPr="00406EC3" w:rsidRDefault="000614C9" w:rsidP="00406EC3">
      <w:pPr>
        <w:pStyle w:val="ConsPlusNormal"/>
        <w:ind w:left="5529"/>
        <w:rPr>
          <w:rFonts w:ascii="Times New Roman" w:hAnsi="Times New Roman" w:cs="Times New Roman"/>
          <w:sz w:val="20"/>
        </w:rPr>
      </w:pPr>
      <w:r w:rsidRPr="00406EC3">
        <w:rPr>
          <w:rFonts w:ascii="Times New Roman" w:hAnsi="Times New Roman" w:cs="Times New Roman"/>
          <w:sz w:val="20"/>
        </w:rPr>
        <w:t xml:space="preserve">к Порядку учета </w:t>
      </w:r>
    </w:p>
    <w:p w:rsidR="000614C9" w:rsidRPr="00406EC3" w:rsidRDefault="000614C9" w:rsidP="00406EC3">
      <w:pPr>
        <w:pStyle w:val="ConsPlusNormal"/>
        <w:ind w:left="5529"/>
        <w:rPr>
          <w:rFonts w:ascii="Times New Roman" w:hAnsi="Times New Roman" w:cs="Times New Roman"/>
          <w:sz w:val="20"/>
        </w:rPr>
      </w:pPr>
      <w:r w:rsidRPr="00406EC3">
        <w:rPr>
          <w:rFonts w:ascii="Times New Roman" w:hAnsi="Times New Roman" w:cs="Times New Roman"/>
          <w:sz w:val="20"/>
        </w:rPr>
        <w:t>бюджетных и денежных обязательств</w:t>
      </w:r>
    </w:p>
    <w:p w:rsidR="0044140F" w:rsidRPr="006C1D8A" w:rsidRDefault="000614C9" w:rsidP="00406EC3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406EC3">
        <w:rPr>
          <w:rFonts w:ascii="Times New Roman" w:hAnsi="Times New Roman" w:cs="Times New Roman"/>
          <w:sz w:val="20"/>
        </w:rPr>
        <w:t>получателей средств бюджета</w:t>
      </w:r>
      <w:r w:rsidR="0044140F" w:rsidRPr="00406EC3">
        <w:rPr>
          <w:rFonts w:ascii="Times New Roman" w:hAnsi="Times New Roman" w:cs="Times New Roman"/>
          <w:sz w:val="20"/>
        </w:rPr>
        <w:t xml:space="preserve"> </w:t>
      </w:r>
      <w:r w:rsidR="00044A66" w:rsidRPr="00044A66">
        <w:rPr>
          <w:rFonts w:ascii="Times New Roman" w:hAnsi="Times New Roman"/>
          <w:spacing w:val="-5"/>
          <w:sz w:val="20"/>
        </w:rPr>
        <w:t xml:space="preserve">сельского поселения </w:t>
      </w:r>
      <w:proofErr w:type="spellStart"/>
      <w:r w:rsidR="00D51F09">
        <w:rPr>
          <w:rFonts w:ascii="Times New Roman" w:hAnsi="Times New Roman"/>
          <w:spacing w:val="-5"/>
          <w:sz w:val="20"/>
        </w:rPr>
        <w:t>Ишеевский</w:t>
      </w:r>
      <w:proofErr w:type="spellEnd"/>
      <w:r w:rsidR="00044A66" w:rsidRPr="00044A66">
        <w:rPr>
          <w:rFonts w:ascii="Times New Roman" w:hAnsi="Times New Roman"/>
          <w:spacing w:val="-5"/>
          <w:sz w:val="20"/>
        </w:rPr>
        <w:t xml:space="preserve"> сельсовет</w:t>
      </w:r>
      <w:r w:rsidR="00044A66">
        <w:rPr>
          <w:rFonts w:ascii="Times New Roman" w:hAnsi="Times New Roman" w:cs="Times New Roman"/>
          <w:sz w:val="20"/>
        </w:rPr>
        <w:t xml:space="preserve"> </w:t>
      </w:r>
      <w:r w:rsidR="00EA5A49">
        <w:rPr>
          <w:rFonts w:ascii="Times New Roman" w:hAnsi="Times New Roman" w:cs="Times New Roman"/>
          <w:sz w:val="20"/>
        </w:rPr>
        <w:t xml:space="preserve">муниципального района </w:t>
      </w:r>
      <w:proofErr w:type="spellStart"/>
      <w:r w:rsidR="00EA5A49">
        <w:rPr>
          <w:rFonts w:ascii="Times New Roman" w:hAnsi="Times New Roman" w:cs="Times New Roman"/>
          <w:sz w:val="20"/>
        </w:rPr>
        <w:t>Ишимбайский</w:t>
      </w:r>
      <w:proofErr w:type="spellEnd"/>
      <w:r w:rsidR="00EA5A4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EA5A49">
        <w:rPr>
          <w:rFonts w:ascii="Times New Roman" w:hAnsi="Times New Roman" w:cs="Times New Roman"/>
          <w:sz w:val="20"/>
        </w:rPr>
        <w:t>район</w:t>
      </w:r>
      <w:r w:rsidR="0044140F" w:rsidRPr="00406EC3">
        <w:rPr>
          <w:rFonts w:ascii="Times New Roman" w:hAnsi="Times New Roman" w:cs="Times New Roman"/>
          <w:sz w:val="20"/>
        </w:rPr>
        <w:t>Республики</w:t>
      </w:r>
      <w:proofErr w:type="spellEnd"/>
      <w:r w:rsidR="0044140F" w:rsidRPr="00406EC3">
        <w:rPr>
          <w:rFonts w:ascii="Times New Roman" w:hAnsi="Times New Roman" w:cs="Times New Roman"/>
          <w:sz w:val="20"/>
        </w:rPr>
        <w:t xml:space="preserve"> Башкортостан</w:t>
      </w:r>
    </w:p>
    <w:p w:rsidR="000614C9" w:rsidRDefault="000614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155B" w:rsidRPr="006C1D8A" w:rsidRDefault="00C91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4C9" w:rsidRPr="00A21305" w:rsidRDefault="00C915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90"/>
      <w:bookmarkEnd w:id="0"/>
      <w:r w:rsidRPr="00A21305">
        <w:rPr>
          <w:rFonts w:ascii="Times New Roman" w:hAnsi="Times New Roman" w:cs="Times New Roman"/>
          <w:b w:val="0"/>
          <w:sz w:val="28"/>
          <w:szCs w:val="28"/>
        </w:rPr>
        <w:t>ИНФОРМАЦИЯ,</w:t>
      </w:r>
    </w:p>
    <w:p w:rsidR="000614C9" w:rsidRPr="00A21305" w:rsidRDefault="00C915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21305">
        <w:rPr>
          <w:rFonts w:ascii="Times New Roman" w:hAnsi="Times New Roman" w:cs="Times New Roman"/>
          <w:b w:val="0"/>
          <w:sz w:val="28"/>
          <w:szCs w:val="28"/>
        </w:rPr>
        <w:t>необходимая</w:t>
      </w:r>
      <w:proofErr w:type="gramEnd"/>
      <w:r w:rsidRPr="00A21305">
        <w:rPr>
          <w:rFonts w:ascii="Times New Roman" w:hAnsi="Times New Roman" w:cs="Times New Roman"/>
          <w:b w:val="0"/>
          <w:sz w:val="28"/>
          <w:szCs w:val="28"/>
        </w:rPr>
        <w:t xml:space="preserve"> для постановки на учет бюджетного обязательства</w:t>
      </w:r>
    </w:p>
    <w:p w:rsidR="000614C9" w:rsidRPr="00A21305" w:rsidRDefault="00C915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21305">
        <w:rPr>
          <w:rFonts w:ascii="Times New Roman" w:hAnsi="Times New Roman" w:cs="Times New Roman"/>
          <w:b w:val="0"/>
          <w:sz w:val="28"/>
          <w:szCs w:val="28"/>
        </w:rPr>
        <w:t>(внесения изменений в поставленное на учет</w:t>
      </w:r>
      <w:proofErr w:type="gramEnd"/>
    </w:p>
    <w:p w:rsidR="000614C9" w:rsidRDefault="00C915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1305">
        <w:rPr>
          <w:rFonts w:ascii="Times New Roman" w:hAnsi="Times New Roman" w:cs="Times New Roman"/>
          <w:b w:val="0"/>
          <w:sz w:val="28"/>
          <w:szCs w:val="28"/>
        </w:rPr>
        <w:t>бюджетное обязательство)</w:t>
      </w:r>
    </w:p>
    <w:p w:rsidR="00BA6E5F" w:rsidRDefault="00BA6E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A6E5F" w:rsidRPr="00A21305" w:rsidRDefault="00BA6E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/>
      </w:tblPr>
      <w:tblGrid>
        <w:gridCol w:w="3778"/>
        <w:gridCol w:w="5272"/>
      </w:tblGrid>
      <w:tr w:rsidR="00D05749" w:rsidRPr="006C1D8A" w:rsidTr="00A25B3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информации (реквизита, показателя)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Правила формирования информации (реквизита, показателя)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749" w:rsidRPr="009B1697" w:rsidTr="00A25B36">
        <w:tc>
          <w:tcPr>
            <w:tcW w:w="3778" w:type="dxa"/>
          </w:tcPr>
          <w:p w:rsidR="00D05749" w:rsidRPr="009B1697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697">
              <w:rPr>
                <w:rFonts w:ascii="Times New Roman" w:hAnsi="Times New Roman" w:cs="Times New Roman"/>
                <w:sz w:val="28"/>
                <w:szCs w:val="28"/>
              </w:rPr>
              <w:t>1. Номер сведений о бюджетном обязательстве получателя бюджетных средств (далее - соответственно Сведения о бюджетном обязательстве, бюджетное обязательство)</w:t>
            </w:r>
          </w:p>
          <w:p w:rsidR="00D05749" w:rsidRPr="009B1697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:rsidR="00D05749" w:rsidRPr="009B1697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697">
              <w:rPr>
                <w:rFonts w:ascii="Times New Roman" w:hAnsi="Times New Roman" w:cs="Times New Roman"/>
                <w:sz w:val="28"/>
                <w:szCs w:val="28"/>
              </w:rPr>
              <w:t>Указывается порядковый номер Сведений о бюджетном обязательстве.</w:t>
            </w:r>
          </w:p>
          <w:p w:rsidR="00D05749" w:rsidRPr="009B1697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2. Учетный номер бюджетного обязательства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при внесении изменений в поставленное на учет бюджетное обязательство.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учетный номер обязательства, в которое вносятся изменения, присвоенный ему при постановке на учет.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3. Дата формирования Сведений о бюджетном обязательстве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дата формирования Сведений о бюджетном обязательстве получателем бюджетных средств.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4. Информация о получателе бюджетных средств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517"/>
            <w:bookmarkEnd w:id="1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4.1 Получатель бюджетных средств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получателя бюджетных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4.2. Главный распорядитель бюджетных средств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главного распорядителя средств бюджета </w:t>
            </w:r>
            <w:r w:rsidR="00A873D5" w:rsidRPr="00A873D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сельского поселения </w:t>
            </w:r>
            <w:proofErr w:type="spellStart"/>
            <w:r w:rsidR="00D51F09">
              <w:rPr>
                <w:rFonts w:ascii="Times New Roman" w:hAnsi="Times New Roman"/>
                <w:spacing w:val="-5"/>
                <w:sz w:val="28"/>
                <w:szCs w:val="28"/>
              </w:rPr>
              <w:t>Ишеевский</w:t>
            </w:r>
            <w:proofErr w:type="spellEnd"/>
            <w:r w:rsidR="00A873D5" w:rsidRPr="00A873D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сельсовет</w:t>
            </w:r>
            <w:r w:rsidR="00A87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A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EA5A49">
              <w:rPr>
                <w:rFonts w:ascii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="00EA5A49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Башкортостан с отражением в кодовой зоне </w:t>
            </w:r>
            <w:proofErr w:type="gramStart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кода главного распорядителя средств бюджета </w:t>
            </w:r>
            <w:r w:rsidR="00EA5A49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proofErr w:type="gramEnd"/>
            <w:r w:rsidR="00EA5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A49">
              <w:rPr>
                <w:rFonts w:ascii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="00EA5A49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4.3. Наименование бюджета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юджет </w:t>
            </w:r>
            <w:r w:rsidR="00A873D5" w:rsidRPr="00A873D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сельского поселения </w:t>
            </w:r>
            <w:proofErr w:type="spellStart"/>
            <w:r w:rsidR="00D51F09">
              <w:rPr>
                <w:rFonts w:ascii="Times New Roman" w:hAnsi="Times New Roman"/>
                <w:spacing w:val="-5"/>
                <w:sz w:val="28"/>
                <w:szCs w:val="28"/>
              </w:rPr>
              <w:t>Ишеевский</w:t>
            </w:r>
            <w:proofErr w:type="spellEnd"/>
            <w:r w:rsidR="00A873D5" w:rsidRPr="00A873D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сельсовет</w:t>
            </w:r>
            <w:r w:rsidR="00A87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A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EA5A49">
              <w:rPr>
                <w:rFonts w:ascii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="00EA5A49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орган</w:t>
            </w:r>
          </w:p>
        </w:tc>
        <w:tc>
          <w:tcPr>
            <w:tcW w:w="5272" w:type="dxa"/>
          </w:tcPr>
          <w:p w:rsidR="00D05749" w:rsidRPr="00BA6E5F" w:rsidRDefault="00D05749" w:rsidP="00EA5A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финансовый орган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A5A4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="00EA5A49">
              <w:rPr>
                <w:rFonts w:ascii="Times New Roman" w:hAnsi="Times New Roman" w:cs="Times New Roman"/>
                <w:sz w:val="28"/>
                <w:szCs w:val="28"/>
              </w:rPr>
              <w:t>инансовое 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532"/>
            <w:bookmarkEnd w:id="2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4.5. Номер лицевого счета получателя бюджетных средств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номер соответствующего лицевого счета получателя бюджетных средств.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5. Реквизиты документа, являющегося основанием для принятия на учет бюджетного обязательства/ Реквизиты исполнительного документа/ решения налогового органа (далее - документ-основание)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536"/>
            <w:bookmarkEnd w:id="3"/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.1. Вид документа-основания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одно из следующих значений: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соглашение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исполнительный 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решение налогового органа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извеще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об осуществлении закупки»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иное основание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.2. Номер документа-основания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номер документа-основания (при наличии).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542"/>
            <w:bookmarkEnd w:id="4"/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.3. Дата документа-основания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дата заключения (принятия) документа-основания, дата выдачи исполнительного документа, решения налогового органа.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749" w:rsidRPr="006C1D8A" w:rsidDel="008D144D" w:rsidTr="00A25B36">
        <w:tc>
          <w:tcPr>
            <w:tcW w:w="3778" w:type="dxa"/>
          </w:tcPr>
          <w:p w:rsidR="00D05749" w:rsidRPr="006C1D8A" w:rsidDel="008D144D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5.4. Срок исполнения</w:t>
            </w:r>
          </w:p>
        </w:tc>
        <w:tc>
          <w:tcPr>
            <w:tcW w:w="5272" w:type="dxa"/>
          </w:tcPr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дата завершения исполнения обязательств по документу-основанию (кроме обязательств, возникших из извещения об осуществлении закупки).</w:t>
            </w:r>
          </w:p>
          <w:p w:rsidR="00D05749" w:rsidRPr="006C1D8A" w:rsidDel="008D144D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blPrEx>
          <w:tblBorders>
            <w:insideH w:val="nil"/>
          </w:tblBorders>
        </w:tblPrEx>
        <w:tc>
          <w:tcPr>
            <w:tcW w:w="3778" w:type="dxa"/>
            <w:tcBorders>
              <w:bottom w:val="nil"/>
            </w:tcBorders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5.5. Уникальный номер реестровой записи в реестре контрактов</w:t>
            </w:r>
          </w:p>
        </w:tc>
        <w:tc>
          <w:tcPr>
            <w:tcW w:w="5272" w:type="dxa"/>
            <w:tcBorders>
              <w:bottom w:val="nil"/>
            </w:tcBorders>
          </w:tcPr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уникальный номер реестровой записи в реестре контрактов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552"/>
            <w:bookmarkEnd w:id="5"/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.6. Сумма в валюте обязательства </w:t>
            </w:r>
          </w:p>
        </w:tc>
        <w:tc>
          <w:tcPr>
            <w:tcW w:w="5272" w:type="dxa"/>
          </w:tcPr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554"/>
            <w:bookmarkEnd w:id="6"/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.7. Код валюты по </w:t>
            </w:r>
            <w:hyperlink r:id="rId7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ОКВ</w:t>
              </w:r>
            </w:hyperlink>
          </w:p>
        </w:tc>
        <w:tc>
          <w:tcPr>
            <w:tcW w:w="5272" w:type="dxa"/>
          </w:tcPr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код валюты, в которой принято бюджетное обязательство, в соответствии с Общероссийским классификатором валют. </w:t>
            </w:r>
          </w:p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5.8. Сумма в валюте Российской Федерации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сумма бюджетного обязательства в валюте Российской Федерации.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Если бюджетное обязательство принято в иностранной валюте, его сумма пересчитывается в валюту Российской Федерации по курсу Центрального банка Российской Федерации на дату, указанную в </w:t>
            </w:r>
            <w:hyperlink w:anchor="P542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пункте 5.3</w:t>
              </w:r>
            </w:hyperlink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Если бюджетное обязательство принято в иностранной валюте, при внесении изменений в поставленное на учет бюджетное обязательство указывается его 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сумма, пересчитанная в валюту Российской Федерации по курсу Центрального банка Российской Федерации на дату внесения изменений в бюджетное обязательство.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Сумма в валюте Российской Федерации включает в себя сумму исполненного обязательства прошлых лет, а также сумму обязательства на текущий год и последующие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5.9. Процент авансового платежа от общей суммы обязательства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При заполнении в </w:t>
            </w:r>
            <w:hyperlink w:anchor="P536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пункте 5.1</w:t>
              </w:r>
            </w:hyperlink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 значения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указывается процент авансового платежа, установленный документом-основанием или исчисленный от общей суммы бюджетного обязательства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.10. Сумма авансового платежа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При заполнении в </w:t>
            </w:r>
            <w:hyperlink w:anchor="P536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пункте 5.1</w:t>
              </w:r>
            </w:hyperlink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 значения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указывается сумма авансового платежа в валюте обязательства, установленная документом-основанием или исчисленная от общей суммы бюджетного обязательства. 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Del="00F45AC1" w:rsidRDefault="00D05749" w:rsidP="00A25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5.11. Признак казначейского сопровождения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признак казначейского сопровождения, исходя из следующего: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-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средств, предоставляемых в соответствии с документом-основанием.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В остальных случаях не заполняется.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Del="00F45AC1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5.12. Идентификатор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идентификатор документа-основания при заполнении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hyperlink w:anchor="Par313" w:tooltip="6.7. Признак казначейского сопровождения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пункте 5.11</w:t>
              </w:r>
            </w:hyperlink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5.13. Номер уведомления о поступлении исполнительного документа/решения налогового органа</w:t>
            </w:r>
          </w:p>
        </w:tc>
        <w:tc>
          <w:tcPr>
            <w:tcW w:w="5272" w:type="dxa"/>
          </w:tcPr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При заполнении в </w:t>
            </w:r>
            <w:hyperlink w:anchor="P536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пункте 5.1</w:t>
              </w:r>
            </w:hyperlink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 значений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исполнительный 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решение налогового органа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указывается номер уведомления </w:t>
            </w:r>
            <w:r w:rsidR="00EA5A49">
              <w:rPr>
                <w:rFonts w:ascii="Times New Roman" w:hAnsi="Times New Roman" w:cs="Times New Roman"/>
                <w:sz w:val="28"/>
                <w:szCs w:val="28"/>
              </w:rPr>
              <w:t>финансового управления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о поступлении исполнительного документа (решения налогового органа), направленного должнику.</w:t>
            </w:r>
          </w:p>
          <w:p w:rsidR="00D05749" w:rsidRPr="00A934D5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5.14. Дата уведомления о поступлении исполнительного документа/решения налогового органа</w:t>
            </w:r>
          </w:p>
        </w:tc>
        <w:tc>
          <w:tcPr>
            <w:tcW w:w="5272" w:type="dxa"/>
          </w:tcPr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При заполнении в </w:t>
            </w:r>
            <w:hyperlink w:anchor="P536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пункте 5.1</w:t>
              </w:r>
            </w:hyperlink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 значений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исполнительный 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решение налогового органа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указывается дата уведомления </w:t>
            </w:r>
            <w:r w:rsidR="00EA5A49">
              <w:rPr>
                <w:rFonts w:ascii="Times New Roman" w:hAnsi="Times New Roman" w:cs="Times New Roman"/>
                <w:sz w:val="28"/>
                <w:szCs w:val="28"/>
              </w:rPr>
              <w:t>финансового управления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о поступлении исполнительного документа (решения налогового органа), направленного должнику.</w:t>
            </w:r>
          </w:p>
          <w:p w:rsidR="00D05749" w:rsidRPr="00A934D5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5.15. Наименование судебного органа/налогового органа</w:t>
            </w:r>
          </w:p>
        </w:tc>
        <w:tc>
          <w:tcPr>
            <w:tcW w:w="5272" w:type="dxa"/>
          </w:tcPr>
          <w:p w:rsidR="00D05749" w:rsidRDefault="00D05749" w:rsidP="00A25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судебного органа, выдавшего исполнительный документ/ наименование налогового органа направившего решение налогового органа о взыскании налога, сбора, страхового взноса, пеней и штрафов.</w:t>
            </w:r>
          </w:p>
          <w:p w:rsidR="00D05749" w:rsidRPr="00A934D5" w:rsidRDefault="00D05749" w:rsidP="00A25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6. Реквизиты контрагента/взыскателя по исполнительному документу/решению налогового органа </w:t>
            </w:r>
            <w:hyperlink w:anchor="P637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6.1. Наименование юридического лица/фамилия, имя, отчество физического лица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поставщика (подрядчика, исполнителя, получателя денежных средств) по документу-основанию (далее - контрагент) в соответствии со сведениями Единого государственного реестра юридических лиц (далее - ЕГРЮЛ) на основании документа-основания, фамилия, имя, отчество физического лица на основании документа-основания.</w:t>
            </w:r>
            <w:proofErr w:type="gramEnd"/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578"/>
            <w:bookmarkEnd w:id="7"/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.2. Идентификационный номер налогоплательщика (ИНН)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ИНН контрагента в соответствии со сведениями ЕГРЮЛ.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581"/>
            <w:bookmarkEnd w:id="8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6.3. Код причины постановки на учет в налоговом органе (КПП)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КПП контрагента в соответствии со сведениями ЕГРЮЛ.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.4. Номер банковского (казначейского) счета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номер банковского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(казначейского)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счета контрагента (при наличии в документе-основании).</w:t>
            </w:r>
          </w:p>
        </w:tc>
      </w:tr>
      <w:tr w:rsidR="00D05749" w:rsidRPr="006C1D8A" w:rsidTr="00A25B36">
        <w:tblPrEx>
          <w:tblBorders>
            <w:insideH w:val="nil"/>
          </w:tblBorders>
        </w:tblPrEx>
        <w:tc>
          <w:tcPr>
            <w:tcW w:w="3778" w:type="dxa"/>
            <w:tcBorders>
              <w:bottom w:val="nil"/>
            </w:tcBorders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.5. Наименование банка </w:t>
            </w:r>
          </w:p>
        </w:tc>
        <w:tc>
          <w:tcPr>
            <w:tcW w:w="5272" w:type="dxa"/>
            <w:tcBorders>
              <w:bottom w:val="nil"/>
            </w:tcBorders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банка контрагента или иной организации в котором</w:t>
            </w:r>
            <w:proofErr w:type="gramStart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proofErr w:type="gramEnd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ой) открыт счет контрагенту (при наличии в документе-основании).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.6. БИК банка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БИК банка контрагента (при наличии в документе-основании).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.7. Корреспондентский счет банка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 Расшифровка обязательства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7.1. Код по бюджетной и дополнительной классификации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код </w:t>
            </w:r>
            <w:r w:rsidR="006708BD" w:rsidRPr="006708BD">
              <w:rPr>
                <w:rFonts w:ascii="Times New Roman" w:hAnsi="Times New Roman" w:cs="Times New Roman"/>
                <w:sz w:val="28"/>
                <w:szCs w:val="28"/>
              </w:rPr>
              <w:t xml:space="preserve">по бюджетной и дополнительной 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классификации расходов бюджета и дополнительной классификации (тип средств, код РАИП и </w:t>
            </w:r>
            <w:proofErr w:type="spellStart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Терзаказа</w:t>
            </w:r>
            <w:proofErr w:type="spellEnd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, аналитический код) в соответствии с предметом документа-основания.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постановки на учет бюджетного обязательства, возникшего на основании исполнительного документа (решения налогового органа), указывается код </w:t>
            </w:r>
            <w:r w:rsidR="006708BD" w:rsidRPr="006708BD">
              <w:rPr>
                <w:rFonts w:ascii="Times New Roman" w:hAnsi="Times New Roman" w:cs="Times New Roman"/>
                <w:sz w:val="28"/>
                <w:szCs w:val="28"/>
              </w:rPr>
              <w:t xml:space="preserve">по бюджетной и дополнительной </w:t>
            </w:r>
            <w:bookmarkStart w:id="9" w:name="_GoBack"/>
            <w:bookmarkEnd w:id="9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классификации расходов бюджета на основании информации, представленной должником.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.2. Предмет по документу-основанию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предмет по документу-основанию.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При заполнении в </w:t>
            </w:r>
            <w:hyperlink w:anchor="P536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пункте 5.1</w:t>
              </w:r>
            </w:hyperlink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информации значения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догово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р», «извещение об осуществлении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акупки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, указывается наименовани</w:t>
            </w:r>
            <w:proofErr w:type="gramStart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я) объекта закупки (поставляемых товаров, выполняемых работ, оказываемых услуг), указанное(</w:t>
            </w:r>
            <w:proofErr w:type="spellStart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) в контракте (договоре), извещении об осуществлении закупки.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При заполнении в </w:t>
            </w:r>
            <w:hyperlink w:anchor="P536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пункте 5.1</w:t>
              </w:r>
            </w:hyperlink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 значения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указывается наименовани</w:t>
            </w:r>
            <w:proofErr w:type="gramStart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я) цели(ей) предоставления, целевого направления, направления(</w:t>
            </w:r>
            <w:proofErr w:type="spellStart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) расходования субсидии, бюджетных инвестиций, межбюджетного трансферта или средств.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7.3. Сумма на текущий финансовый год в валюте обязательства с помесячной разбивкой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обязательства с точностью до второго знака</w:t>
            </w:r>
            <w:proofErr w:type="gramEnd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после запятой для каждой даты осуществления платежа.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В случае постановки на учет (изменения) бюджетного обязательства, возникшего на основании государственного контракта (договора), указывается график платежей с помесячной разбивкой текущего года исполнения контракта.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постановки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учет (изменения) бюджетного обязательства, возникшего на основании исполнительного документа/решения 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налогового органа, указывается сумма на основании информации, представленной должником.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7.4. Сумма исполненного обязательства прошлых лет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исполненная сумма бюджетного обязательства прошлых лет с точностью до второго знака после запятой. 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.5. Примечание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Иная информация, необходимая для постановки бюджетного обязательства на учет.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7.6. Сумма в валюте обязательства на плановый период в разрезе лет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обязательства с точностью до второго знака</w:t>
            </w:r>
            <w:proofErr w:type="gramEnd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после запятой.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В случае постановки на учет (изменения) бюджетного обязательства, возникшего на основании государственного контракта (договора), указывается график платежей по государственному контракту (договору) в валюте обязательства с годовой периодичностью.</w:t>
            </w:r>
          </w:p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Сумма указывается отдельно на первый, второй, третий и четвертый год планового 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периода, а также общей суммой на </w:t>
            </w:r>
            <w:proofErr w:type="gramStart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последующие</w:t>
            </w:r>
            <w:proofErr w:type="gramEnd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749" w:rsidRPr="006C1D8A" w:rsidTr="00A25B36">
        <w:tblPrEx>
          <w:tblBorders>
            <w:insideH w:val="nil"/>
          </w:tblBorders>
        </w:tblPrEx>
        <w:tc>
          <w:tcPr>
            <w:tcW w:w="3778" w:type="dxa"/>
            <w:tcBorders>
              <w:bottom w:val="single" w:sz="4" w:space="0" w:color="auto"/>
            </w:tcBorders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.7. Наименование объекта </w:t>
            </w:r>
          </w:p>
        </w:tc>
        <w:tc>
          <w:tcPr>
            <w:tcW w:w="5272" w:type="dxa"/>
            <w:tcBorders>
              <w:bottom w:val="single" w:sz="4" w:space="0" w:color="auto"/>
            </w:tcBorders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объекта РАИП или </w:t>
            </w:r>
            <w:proofErr w:type="spellStart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Терзаказа</w:t>
            </w:r>
            <w:proofErr w:type="spellEnd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информации из документа-основания, заключенного (принятого) в целях реализации РАИП или </w:t>
            </w:r>
            <w:proofErr w:type="spellStart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Терзаказа</w:t>
            </w:r>
            <w:proofErr w:type="spellEnd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614C9" w:rsidRPr="006C1D8A" w:rsidRDefault="000614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749" w:rsidRPr="006C1D8A" w:rsidRDefault="00D05749" w:rsidP="00D057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35"/>
      <w:bookmarkStart w:id="11" w:name="P636"/>
      <w:bookmarkStart w:id="12" w:name="P637"/>
      <w:bookmarkStart w:id="13" w:name="P638"/>
      <w:bookmarkEnd w:id="10"/>
      <w:bookmarkEnd w:id="11"/>
      <w:bookmarkEnd w:id="12"/>
      <w:bookmarkEnd w:id="13"/>
      <w:r w:rsidRPr="006C1D8A">
        <w:rPr>
          <w:rFonts w:ascii="Times New Roman" w:hAnsi="Times New Roman" w:cs="Times New Roman"/>
          <w:sz w:val="28"/>
          <w:szCs w:val="28"/>
        </w:rPr>
        <w:t>&lt;*&gt; В случае постановки на учет принимаемого бюджетного обязательства, возникшего на основании извещения об осуществлении закупки, раздел не заполняется</w:t>
      </w:r>
      <w:proofErr w:type="gramStart"/>
      <w:r w:rsidRPr="006C1D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05749" w:rsidRPr="006C1D8A" w:rsidRDefault="00D05749" w:rsidP="00D057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4C9" w:rsidRPr="006C1D8A" w:rsidRDefault="000614C9" w:rsidP="00D057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614C9" w:rsidRPr="006C1D8A" w:rsidSect="00C9155B">
      <w:headerReference w:type="default" r:id="rId8"/>
      <w:pgSz w:w="11905" w:h="16838"/>
      <w:pgMar w:top="1134" w:right="850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C97" w:rsidRDefault="00796C97" w:rsidP="00612169">
      <w:pPr>
        <w:spacing w:after="0" w:line="240" w:lineRule="auto"/>
      </w:pPr>
      <w:r>
        <w:separator/>
      </w:r>
    </w:p>
  </w:endnote>
  <w:endnote w:type="continuationSeparator" w:id="0">
    <w:p w:rsidR="00796C97" w:rsidRDefault="00796C97" w:rsidP="0061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C97" w:rsidRDefault="00796C97" w:rsidP="00612169">
      <w:pPr>
        <w:spacing w:after="0" w:line="240" w:lineRule="auto"/>
      </w:pPr>
      <w:r>
        <w:separator/>
      </w:r>
    </w:p>
  </w:footnote>
  <w:footnote w:type="continuationSeparator" w:id="0">
    <w:p w:rsidR="00796C97" w:rsidRDefault="00796C97" w:rsidP="0061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6227887"/>
      <w:docPartObj>
        <w:docPartGallery w:val="Page Numbers (Top of Page)"/>
        <w:docPartUnique/>
      </w:docPartObj>
    </w:sdtPr>
    <w:sdtContent>
      <w:p w:rsidR="00612169" w:rsidRDefault="006E256F">
        <w:pPr>
          <w:pStyle w:val="a5"/>
          <w:jc w:val="center"/>
        </w:pPr>
        <w:r>
          <w:fldChar w:fldCharType="begin"/>
        </w:r>
        <w:r w:rsidR="00612169">
          <w:instrText>PAGE   \* MERGEFORMAT</w:instrText>
        </w:r>
        <w:r>
          <w:fldChar w:fldCharType="separate"/>
        </w:r>
        <w:r w:rsidR="00D51F09">
          <w:rPr>
            <w:noProof/>
          </w:rPr>
          <w:t>9</w:t>
        </w:r>
        <w:r>
          <w:fldChar w:fldCharType="end"/>
        </w:r>
      </w:p>
    </w:sdtContent>
  </w:sdt>
  <w:p w:rsidR="00612169" w:rsidRDefault="0061216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0614C9"/>
    <w:rsid w:val="000016B7"/>
    <w:rsid w:val="00004F71"/>
    <w:rsid w:val="00044A66"/>
    <w:rsid w:val="000502FF"/>
    <w:rsid w:val="000614C9"/>
    <w:rsid w:val="00091847"/>
    <w:rsid w:val="000A3FC3"/>
    <w:rsid w:val="000C432B"/>
    <w:rsid w:val="000C548A"/>
    <w:rsid w:val="000D53BF"/>
    <w:rsid w:val="000E0327"/>
    <w:rsid w:val="000E4401"/>
    <w:rsid w:val="00127D29"/>
    <w:rsid w:val="0015262B"/>
    <w:rsid w:val="00185333"/>
    <w:rsid w:val="001E5CDE"/>
    <w:rsid w:val="001E735F"/>
    <w:rsid w:val="00206A70"/>
    <w:rsid w:val="00215FDE"/>
    <w:rsid w:val="002543B6"/>
    <w:rsid w:val="00261424"/>
    <w:rsid w:val="002B6034"/>
    <w:rsid w:val="00304981"/>
    <w:rsid w:val="003503E5"/>
    <w:rsid w:val="00361F89"/>
    <w:rsid w:val="00392895"/>
    <w:rsid w:val="003A7001"/>
    <w:rsid w:val="00405C6F"/>
    <w:rsid w:val="00406EC3"/>
    <w:rsid w:val="0042115A"/>
    <w:rsid w:val="00432190"/>
    <w:rsid w:val="0044140F"/>
    <w:rsid w:val="004437CC"/>
    <w:rsid w:val="00447103"/>
    <w:rsid w:val="00447EB4"/>
    <w:rsid w:val="004704A8"/>
    <w:rsid w:val="00475FDE"/>
    <w:rsid w:val="004B042C"/>
    <w:rsid w:val="004E00D5"/>
    <w:rsid w:val="005146AC"/>
    <w:rsid w:val="005230BF"/>
    <w:rsid w:val="0052696C"/>
    <w:rsid w:val="00571008"/>
    <w:rsid w:val="0059611C"/>
    <w:rsid w:val="005A322A"/>
    <w:rsid w:val="005F47C5"/>
    <w:rsid w:val="005F6A44"/>
    <w:rsid w:val="00612169"/>
    <w:rsid w:val="006708BD"/>
    <w:rsid w:val="00686DC0"/>
    <w:rsid w:val="006A4DCF"/>
    <w:rsid w:val="006A57A5"/>
    <w:rsid w:val="006B0F6E"/>
    <w:rsid w:val="006C1D8A"/>
    <w:rsid w:val="006E256F"/>
    <w:rsid w:val="006F6677"/>
    <w:rsid w:val="006F7D9C"/>
    <w:rsid w:val="00705EAF"/>
    <w:rsid w:val="0071773C"/>
    <w:rsid w:val="00741972"/>
    <w:rsid w:val="0076050D"/>
    <w:rsid w:val="00762FF5"/>
    <w:rsid w:val="0077517E"/>
    <w:rsid w:val="00796C97"/>
    <w:rsid w:val="007C280E"/>
    <w:rsid w:val="007D01C6"/>
    <w:rsid w:val="007F5FD8"/>
    <w:rsid w:val="007F6499"/>
    <w:rsid w:val="00826086"/>
    <w:rsid w:val="008734BC"/>
    <w:rsid w:val="008A5543"/>
    <w:rsid w:val="008A7377"/>
    <w:rsid w:val="008D144D"/>
    <w:rsid w:val="008E0205"/>
    <w:rsid w:val="009014A8"/>
    <w:rsid w:val="00947094"/>
    <w:rsid w:val="009525E5"/>
    <w:rsid w:val="00980637"/>
    <w:rsid w:val="009922BE"/>
    <w:rsid w:val="009938EB"/>
    <w:rsid w:val="009A5942"/>
    <w:rsid w:val="009B087B"/>
    <w:rsid w:val="009B1697"/>
    <w:rsid w:val="009C4E58"/>
    <w:rsid w:val="009C5114"/>
    <w:rsid w:val="009F6BB2"/>
    <w:rsid w:val="00A21305"/>
    <w:rsid w:val="00A4255A"/>
    <w:rsid w:val="00A62E31"/>
    <w:rsid w:val="00A6480D"/>
    <w:rsid w:val="00A873D5"/>
    <w:rsid w:val="00A934D5"/>
    <w:rsid w:val="00A93917"/>
    <w:rsid w:val="00A93FE9"/>
    <w:rsid w:val="00AC1A6B"/>
    <w:rsid w:val="00AC32C5"/>
    <w:rsid w:val="00AC7291"/>
    <w:rsid w:val="00AE46E2"/>
    <w:rsid w:val="00B13C14"/>
    <w:rsid w:val="00B33A4D"/>
    <w:rsid w:val="00B41DFE"/>
    <w:rsid w:val="00B53E6D"/>
    <w:rsid w:val="00B80DB6"/>
    <w:rsid w:val="00B82078"/>
    <w:rsid w:val="00B97838"/>
    <w:rsid w:val="00BA6E5F"/>
    <w:rsid w:val="00BD334A"/>
    <w:rsid w:val="00C454FC"/>
    <w:rsid w:val="00C57FEC"/>
    <w:rsid w:val="00C72341"/>
    <w:rsid w:val="00C9155B"/>
    <w:rsid w:val="00CC366D"/>
    <w:rsid w:val="00CD5202"/>
    <w:rsid w:val="00CE3230"/>
    <w:rsid w:val="00D05749"/>
    <w:rsid w:val="00D20DC3"/>
    <w:rsid w:val="00D272C7"/>
    <w:rsid w:val="00D323EE"/>
    <w:rsid w:val="00D46F29"/>
    <w:rsid w:val="00D51F09"/>
    <w:rsid w:val="00D53F1E"/>
    <w:rsid w:val="00D86FCB"/>
    <w:rsid w:val="00DC5AEA"/>
    <w:rsid w:val="00DC5C96"/>
    <w:rsid w:val="00DD0EF7"/>
    <w:rsid w:val="00DE6BBC"/>
    <w:rsid w:val="00DF315E"/>
    <w:rsid w:val="00DF4673"/>
    <w:rsid w:val="00E27A22"/>
    <w:rsid w:val="00E33D4C"/>
    <w:rsid w:val="00E87819"/>
    <w:rsid w:val="00E94EBD"/>
    <w:rsid w:val="00EA1384"/>
    <w:rsid w:val="00EA5A49"/>
    <w:rsid w:val="00EC4F6F"/>
    <w:rsid w:val="00ED393D"/>
    <w:rsid w:val="00ED58F2"/>
    <w:rsid w:val="00EF0A66"/>
    <w:rsid w:val="00F03142"/>
    <w:rsid w:val="00F05939"/>
    <w:rsid w:val="00F25AD3"/>
    <w:rsid w:val="00F30F5E"/>
    <w:rsid w:val="00F42D3F"/>
    <w:rsid w:val="00F45AC1"/>
    <w:rsid w:val="00F673FF"/>
    <w:rsid w:val="00F67B39"/>
    <w:rsid w:val="00F975DF"/>
    <w:rsid w:val="00FC0054"/>
    <w:rsid w:val="00FF0065"/>
    <w:rsid w:val="00FF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14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14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1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1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14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0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2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2169"/>
  </w:style>
  <w:style w:type="paragraph" w:styleId="a7">
    <w:name w:val="footer"/>
    <w:basedOn w:val="a"/>
    <w:link w:val="a8"/>
    <w:uiPriority w:val="99"/>
    <w:unhideWhenUsed/>
    <w:rsid w:val="00612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2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DD6D81F2AAE82A25D06B012CE2E23A21DF9CF6F8F16ADFDD92F1A5B1F37A5DBB2C2691CE68DD6FF08C4F8617Z3t3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B3C6A-5FC6-431B-8E66-4704BCED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1753</Words>
  <Characters>9997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5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1</vt:lpstr>
    </vt:vector>
  </TitlesOfParts>
  <Company/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Алибаева Земфира Заквановна</dc:creator>
  <cp:lastModifiedBy>Пользователь</cp:lastModifiedBy>
  <cp:revision>9</cp:revision>
  <cp:lastPrinted>2020-11-10T11:37:00Z</cp:lastPrinted>
  <dcterms:created xsi:type="dcterms:W3CDTF">2020-11-27T05:36:00Z</dcterms:created>
  <dcterms:modified xsi:type="dcterms:W3CDTF">2020-12-24T05:48:00Z</dcterms:modified>
</cp:coreProperties>
</file>